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8"/>
          <w:szCs w:val="48"/>
          <w:lang w:val="en-US" w:eastAsia="zh-CN"/>
        </w:rPr>
      </w:pPr>
    </w:p>
    <w:p>
      <w:pPr>
        <w:jc w:val="center"/>
        <w:rPr>
          <w:rFonts w:hint="eastAsia" w:eastAsia="宋体"/>
          <w:b/>
          <w:bCs/>
          <w:sz w:val="36"/>
          <w:szCs w:val="36"/>
          <w:lang w:val="en-US" w:eastAsia="zh-CN"/>
        </w:rPr>
      </w:pPr>
      <w:r>
        <w:rPr>
          <w:rFonts w:hint="eastAsia"/>
          <w:b/>
          <w:bCs/>
          <w:sz w:val="36"/>
          <w:szCs w:val="36"/>
          <w:lang w:val="en-US" w:eastAsia="zh-CN"/>
        </w:rPr>
        <w:t>承德苏垦银河连杆有限公司库存车销售竞价公告</w:t>
      </w:r>
    </w:p>
    <w:p>
      <w:pPr>
        <w:rPr>
          <w:rFonts w:hint="eastAsia"/>
          <w:sz w:val="28"/>
          <w:szCs w:val="28"/>
          <w:lang w:val="en-US" w:eastAsia="zh-CN"/>
        </w:rPr>
      </w:pPr>
      <w:r>
        <w:rPr>
          <w:rFonts w:hint="eastAsia"/>
          <w:sz w:val="28"/>
          <w:szCs w:val="28"/>
          <w:lang w:val="en-US" w:eastAsia="zh-CN"/>
        </w:rPr>
        <w:t>一、基本情况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承德苏垦银河连杆有限公司有5辆库存车进行销售；</w:t>
      </w:r>
    </w:p>
    <w:tbl>
      <w:tblPr>
        <w:tblStyle w:val="10"/>
        <w:tblW w:w="9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1020"/>
        <w:gridCol w:w="936"/>
        <w:gridCol w:w="815"/>
        <w:gridCol w:w="815"/>
        <w:gridCol w:w="815"/>
        <w:gridCol w:w="815"/>
        <w:gridCol w:w="815"/>
        <w:gridCol w:w="815"/>
        <w:gridCol w:w="815"/>
        <w:gridCol w:w="815"/>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序号</w:t>
            </w:r>
          </w:p>
        </w:tc>
        <w:tc>
          <w:tcPr>
            <w:tcW w:w="1020"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车号</w:t>
            </w:r>
          </w:p>
        </w:tc>
        <w:tc>
          <w:tcPr>
            <w:tcW w:w="936"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型号</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颜色</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eastAsia"/>
                <w:sz w:val="18"/>
                <w:szCs w:val="18"/>
                <w:vertAlign w:val="baseline"/>
                <w:lang w:val="en-US" w:eastAsia="zh-CN"/>
              </w:rPr>
            </w:pPr>
            <w:r>
              <w:rPr>
                <w:rFonts w:hint="eastAsia"/>
                <w:sz w:val="18"/>
                <w:szCs w:val="18"/>
                <w:vertAlign w:val="baseline"/>
                <w:lang w:val="en-US" w:eastAsia="zh-CN"/>
              </w:rPr>
              <w:t>出厂日期</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登记日期</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燃料种类</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配置</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排量</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车辆原值</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竞价底价</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24"/>
                <w:szCs w:val="24"/>
                <w:vertAlign w:val="baseline"/>
                <w:lang w:val="en-US" w:eastAsia="zh-CN"/>
              </w:rPr>
            </w:pPr>
            <w:r>
              <w:rPr>
                <w:rFonts w:hint="eastAsia"/>
                <w:sz w:val="18"/>
                <w:szCs w:val="1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1</w:t>
            </w:r>
          </w:p>
        </w:tc>
        <w:tc>
          <w:tcPr>
            <w:tcW w:w="1020"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冀HTG627</w:t>
            </w:r>
          </w:p>
        </w:tc>
        <w:tc>
          <w:tcPr>
            <w:tcW w:w="936"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昌河牌轿车</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黑色</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2019.11</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2020.4.15</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汽油</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低配</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1.5</w:t>
            </w:r>
          </w:p>
        </w:tc>
        <w:tc>
          <w:tcPr>
            <w:tcW w:w="815"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sz w:val="18"/>
                <w:szCs w:val="18"/>
                <w:vertAlign w:val="baseline"/>
                <w:lang w:val="en-US" w:eastAsia="zh-CN"/>
              </w:rPr>
            </w:pPr>
            <w:r>
              <w:rPr>
                <w:rFonts w:hint="eastAsia"/>
                <w:sz w:val="18"/>
                <w:szCs w:val="18"/>
                <w:vertAlign w:val="baseline"/>
                <w:lang w:val="en-US" w:eastAsia="zh-CN"/>
              </w:rPr>
              <w:t>5.7万元</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3.2万元</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w:t>
            </w:r>
          </w:p>
        </w:tc>
        <w:tc>
          <w:tcPr>
            <w:tcW w:w="1020"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冀HQX713</w:t>
            </w:r>
          </w:p>
        </w:tc>
        <w:tc>
          <w:tcPr>
            <w:tcW w:w="936" w:type="dxa"/>
          </w:tcPr>
          <w:p>
            <w:pPr>
              <w:keepNext w:val="0"/>
              <w:keepLines w:val="0"/>
              <w:pageBreakBefore w:val="0"/>
              <w:widowControl w:val="0"/>
              <w:kinsoku/>
              <w:wordWrap/>
              <w:overflowPunct/>
              <w:topLinePunct w:val="0"/>
              <w:autoSpaceDE/>
              <w:autoSpaceDN/>
              <w:bidi w:val="0"/>
              <w:adjustRightInd/>
              <w:snapToGrid/>
              <w:textAlignment w:val="auto"/>
              <w:rPr>
                <w:rFonts w:hint="eastAsia" w:eastAsia="宋体"/>
                <w:sz w:val="18"/>
                <w:szCs w:val="18"/>
                <w:vertAlign w:val="baseline"/>
                <w:lang w:val="en-US" w:eastAsia="zh-CN"/>
              </w:rPr>
            </w:pPr>
            <w:r>
              <w:rPr>
                <w:rFonts w:hint="eastAsia"/>
                <w:sz w:val="18"/>
                <w:szCs w:val="18"/>
                <w:vertAlign w:val="baseline"/>
                <w:lang w:val="en-US" w:eastAsia="zh-CN"/>
              </w:rPr>
              <w:t>昌河牌轿车</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白色</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2020.4</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2021.5.28</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汽油</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低配</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1.5</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5.8万元</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3.5万元</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3</w:t>
            </w:r>
          </w:p>
        </w:tc>
        <w:tc>
          <w:tcPr>
            <w:tcW w:w="1020"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冀HPZ792</w:t>
            </w:r>
          </w:p>
        </w:tc>
        <w:tc>
          <w:tcPr>
            <w:tcW w:w="936"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昌河牌轿车</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白色</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2019.11</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2020.4.15</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汽油</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高配</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1.5</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6.6万元</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3.4万元</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天窗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4</w:t>
            </w:r>
          </w:p>
        </w:tc>
        <w:tc>
          <w:tcPr>
            <w:tcW w:w="1020"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冀HPM172</w:t>
            </w:r>
          </w:p>
        </w:tc>
        <w:tc>
          <w:tcPr>
            <w:tcW w:w="936"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昌河牌轿车</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黑色</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2019.12</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2020.4.21</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汽油</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低配</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1.5</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5.7万元</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3.2万元</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5</w:t>
            </w:r>
          </w:p>
        </w:tc>
        <w:tc>
          <w:tcPr>
            <w:tcW w:w="1020"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冀HD07978</w:t>
            </w:r>
          </w:p>
        </w:tc>
        <w:tc>
          <w:tcPr>
            <w:tcW w:w="936"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北京牌箱式货车</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白色</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2019.9</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2021.4.26</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电动</w:t>
            </w:r>
          </w:p>
        </w:tc>
        <w:tc>
          <w:tcPr>
            <w:tcW w:w="815" w:type="dxa"/>
          </w:tcPr>
          <w:p>
            <w:pPr>
              <w:keepNext w:val="0"/>
              <w:keepLines w:val="0"/>
              <w:pageBreakBefore w:val="0"/>
              <w:widowControl w:val="0"/>
              <w:kinsoku/>
              <w:wordWrap/>
              <w:overflowPunct/>
              <w:topLinePunct w:val="0"/>
              <w:autoSpaceDE/>
              <w:autoSpaceDN/>
              <w:bidi w:val="0"/>
              <w:adjustRightInd/>
              <w:snapToGrid/>
              <w:jc w:val="center"/>
              <w:textAlignment w:val="auto"/>
              <w:rPr>
                <w:rFonts w:hint="default"/>
                <w:sz w:val="44"/>
                <w:szCs w:val="44"/>
                <w:vertAlign w:val="baseline"/>
                <w:lang w:val="en-US" w:eastAsia="zh-CN"/>
              </w:rPr>
            </w:pPr>
            <w:r>
              <w:rPr>
                <w:rFonts w:hint="eastAsia"/>
                <w:sz w:val="44"/>
                <w:szCs w:val="44"/>
                <w:vertAlign w:val="baseline"/>
                <w:lang w:val="en-US" w:eastAsia="zh-CN"/>
              </w:rPr>
              <w:t>/</w:t>
            </w:r>
          </w:p>
        </w:tc>
        <w:tc>
          <w:tcPr>
            <w:tcW w:w="815" w:type="dxa"/>
          </w:tcPr>
          <w:p>
            <w:pPr>
              <w:keepNext w:val="0"/>
              <w:keepLines w:val="0"/>
              <w:pageBreakBefore w:val="0"/>
              <w:widowControl w:val="0"/>
              <w:kinsoku/>
              <w:wordWrap/>
              <w:overflowPunct/>
              <w:topLinePunct w:val="0"/>
              <w:autoSpaceDE/>
              <w:autoSpaceDN/>
              <w:bidi w:val="0"/>
              <w:adjustRightInd/>
              <w:snapToGrid/>
              <w:jc w:val="center"/>
              <w:textAlignment w:val="auto"/>
              <w:rPr>
                <w:rFonts w:hint="default"/>
                <w:sz w:val="44"/>
                <w:szCs w:val="44"/>
                <w:vertAlign w:val="baseline"/>
                <w:lang w:val="en-US" w:eastAsia="zh-CN"/>
              </w:rPr>
            </w:pPr>
            <w:r>
              <w:rPr>
                <w:rFonts w:hint="eastAsia"/>
                <w:sz w:val="44"/>
                <w:szCs w:val="44"/>
                <w:vertAlign w:val="baseline"/>
                <w:lang w:val="en-US" w:eastAsia="zh-CN"/>
              </w:rPr>
              <w:t>/</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8.5万元</w:t>
            </w:r>
          </w:p>
        </w:tc>
        <w:tc>
          <w:tcPr>
            <w:tcW w:w="815"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r>
              <w:rPr>
                <w:rFonts w:hint="eastAsia"/>
                <w:sz w:val="18"/>
                <w:szCs w:val="18"/>
                <w:vertAlign w:val="baseline"/>
                <w:lang w:val="en-US" w:eastAsia="zh-CN"/>
              </w:rPr>
              <w:t>5万元</w:t>
            </w:r>
          </w:p>
        </w:tc>
        <w:tc>
          <w:tcPr>
            <w:tcW w:w="824" w:type="dxa"/>
          </w:tcPr>
          <w:p>
            <w:pPr>
              <w:keepNext w:val="0"/>
              <w:keepLines w:val="0"/>
              <w:pageBreakBefore w:val="0"/>
              <w:widowControl w:val="0"/>
              <w:kinsoku/>
              <w:wordWrap/>
              <w:overflowPunct/>
              <w:topLinePunct w:val="0"/>
              <w:autoSpaceDE/>
              <w:autoSpaceDN/>
              <w:bidi w:val="0"/>
              <w:adjustRightInd/>
              <w:snapToGrid/>
              <w:textAlignment w:val="auto"/>
              <w:rPr>
                <w:rFonts w:hint="default"/>
                <w:sz w:val="18"/>
                <w:szCs w:val="18"/>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sz w:val="24"/>
          <w:szCs w:val="24"/>
          <w:lang w:val="en-US" w:eastAsia="zh-CN"/>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360" w:lineRule="auto"/>
        <w:ind w:left="210" w:leftChars="0" w:firstLineChars="0"/>
        <w:textAlignment w:val="auto"/>
        <w:rPr>
          <w:rFonts w:hint="eastAsia" w:ascii="宋体" w:hAnsi="宋体" w:cs="宋体"/>
          <w:sz w:val="28"/>
          <w:szCs w:val="28"/>
          <w:lang w:eastAsia="zh-CN"/>
        </w:rPr>
      </w:pPr>
      <w:r>
        <w:rPr>
          <w:rFonts w:hint="eastAsia" w:ascii="宋体" w:hAnsi="宋体" w:cs="宋体"/>
          <w:sz w:val="28"/>
          <w:szCs w:val="28"/>
          <w:lang w:eastAsia="zh-CN"/>
        </w:rPr>
        <w:t>竞价方式</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textAlignment w:val="auto"/>
        <w:rPr>
          <w:rFonts w:hint="eastAsia" w:ascii="宋体" w:hAnsi="宋体" w:cs="宋体"/>
          <w:sz w:val="28"/>
          <w:szCs w:val="28"/>
          <w:lang w:val="en-US" w:eastAsia="zh-CN"/>
        </w:rPr>
      </w:pPr>
      <w:r>
        <w:rPr>
          <w:rFonts w:hint="eastAsia" w:ascii="宋体" w:hAnsi="宋体" w:cs="宋体"/>
          <w:sz w:val="24"/>
          <w:szCs w:val="24"/>
          <w:lang w:val="en-US" w:eastAsia="zh-CN"/>
        </w:rPr>
        <w:t>本次竞价在中国兵器工业集团公司阳光七采平台发布。</w:t>
      </w:r>
    </w:p>
    <w:p>
      <w:pPr>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eastAsia="zh-CN"/>
        </w:rPr>
      </w:pPr>
      <w:r>
        <w:rPr>
          <w:rFonts w:hint="eastAsia" w:ascii="宋体" w:hAnsi="宋体" w:cs="宋体"/>
          <w:sz w:val="24"/>
          <w:szCs w:val="24"/>
          <w:lang w:val="en-US" w:eastAsia="zh-CN"/>
        </w:rPr>
        <w:t>竞价</w:t>
      </w:r>
      <w:r>
        <w:rPr>
          <w:rFonts w:hint="eastAsia" w:ascii="宋体" w:hAnsi="宋体" w:cs="宋体"/>
          <w:sz w:val="24"/>
          <w:szCs w:val="24"/>
        </w:rPr>
        <w:t>文件获取时间：202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08</w:t>
      </w:r>
      <w:r>
        <w:rPr>
          <w:rFonts w:hint="eastAsia" w:ascii="宋体" w:hAnsi="宋体" w:cs="宋体"/>
          <w:sz w:val="24"/>
          <w:szCs w:val="24"/>
        </w:rPr>
        <w:t>月</w:t>
      </w:r>
      <w:r>
        <w:rPr>
          <w:rFonts w:hint="eastAsia" w:ascii="宋体" w:hAnsi="宋体" w:cs="宋体"/>
          <w:sz w:val="24"/>
          <w:szCs w:val="24"/>
          <w:lang w:val="en-US" w:eastAsia="zh-CN"/>
        </w:rPr>
        <w:t>10</w:t>
      </w:r>
      <w:r>
        <w:rPr>
          <w:rFonts w:hint="eastAsia" w:ascii="宋体" w:hAnsi="宋体" w:cs="宋体"/>
          <w:sz w:val="24"/>
          <w:szCs w:val="24"/>
        </w:rPr>
        <w:t>日</w:t>
      </w:r>
      <w:r>
        <w:rPr>
          <w:rFonts w:hint="eastAsia" w:ascii="宋体" w:hAnsi="宋体" w:cs="宋体"/>
          <w:sz w:val="24"/>
          <w:szCs w:val="24"/>
          <w:lang w:val="en-US" w:eastAsia="zh-CN"/>
        </w:rPr>
        <w:t>17:00时</w:t>
      </w:r>
      <w:r>
        <w:rPr>
          <w:rFonts w:hint="eastAsia" w:ascii="宋体" w:hAnsi="宋体" w:cs="宋体"/>
          <w:sz w:val="24"/>
          <w:szCs w:val="24"/>
        </w:rPr>
        <w:t>起至202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08</w:t>
      </w:r>
      <w:r>
        <w:rPr>
          <w:rFonts w:hint="eastAsia" w:ascii="宋体" w:hAnsi="宋体" w:cs="宋体"/>
          <w:sz w:val="24"/>
          <w:szCs w:val="24"/>
        </w:rPr>
        <w:t>月</w:t>
      </w:r>
      <w:r>
        <w:rPr>
          <w:rFonts w:hint="eastAsia" w:ascii="宋体" w:hAnsi="宋体" w:cs="宋体"/>
          <w:sz w:val="24"/>
          <w:szCs w:val="24"/>
          <w:lang w:val="en-US" w:eastAsia="zh-CN"/>
        </w:rPr>
        <w:t>17</w:t>
      </w:r>
      <w:r>
        <w:rPr>
          <w:rFonts w:hint="eastAsia" w:ascii="宋体" w:hAnsi="宋体" w:cs="宋体"/>
          <w:sz w:val="24"/>
          <w:szCs w:val="24"/>
        </w:rPr>
        <w:t>日</w:t>
      </w:r>
      <w:r>
        <w:rPr>
          <w:rFonts w:hint="eastAsia" w:ascii="宋体" w:hAnsi="宋体" w:cs="宋体"/>
          <w:sz w:val="24"/>
          <w:szCs w:val="24"/>
          <w:lang w:val="en-US" w:eastAsia="zh-CN"/>
        </w:rPr>
        <w:t>13</w:t>
      </w:r>
      <w:r>
        <w:rPr>
          <w:rFonts w:hint="eastAsia" w:ascii="宋体" w:hAnsi="宋体" w:cs="宋体"/>
          <w:sz w:val="24"/>
          <w:szCs w:val="24"/>
        </w:rPr>
        <w:t>：00</w:t>
      </w:r>
      <w:r>
        <w:rPr>
          <w:rFonts w:hint="eastAsia" w:ascii="宋体" w:hAnsi="宋体" w:cs="宋体"/>
          <w:sz w:val="24"/>
          <w:szCs w:val="24"/>
          <w:lang w:eastAsia="zh-CN"/>
        </w:rPr>
        <w:t>。</w:t>
      </w:r>
    </w:p>
    <w:p>
      <w:pPr>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常规竞价时长：常规竞价时长：60分钟。限时竞价时间(分钟)：2分钟（当常规竞价时长截止将进入竞价限时“2分钟”倒计时，竞价人在此时间内可无限次报价，如有竞价人报价，时间自动重置；限时内无人再次竞价，限时倒计时截止即确定竞价结果。）</w:t>
      </w:r>
    </w:p>
    <w:p>
      <w:pPr>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竞价起始时间：2022年8月18日10:00</w:t>
      </w:r>
    </w:p>
    <w:p>
      <w:pPr>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常规竞价截止时间：2022年8月18日11：00</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textAlignment w:val="auto"/>
        <w:rPr>
          <w:rFonts w:hint="eastAsia" w:ascii="宋体" w:hAnsi="宋体" w:cs="宋体"/>
          <w:sz w:val="24"/>
          <w:szCs w:val="24"/>
          <w:lang w:eastAsia="zh-CN"/>
        </w:rPr>
      </w:pPr>
      <w:r>
        <w:rPr>
          <w:rFonts w:hint="eastAsia" w:ascii="宋体" w:hAnsi="宋体" w:cs="宋体"/>
          <w:sz w:val="28"/>
          <w:szCs w:val="28"/>
          <w:lang w:eastAsia="zh-CN"/>
        </w:rPr>
        <w:t>三、网站注册</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cs="宋体"/>
          <w:sz w:val="24"/>
          <w:szCs w:val="24"/>
        </w:rPr>
      </w:pPr>
      <w:r>
        <w:rPr>
          <w:rFonts w:hint="eastAsia" w:ascii="宋体" w:hAnsi="宋体" w:cs="宋体"/>
          <w:sz w:val="24"/>
          <w:szCs w:val="24"/>
        </w:rPr>
        <w:t>阳光七采平台网络注册：请登阳光七采交易平台（网址：</w:t>
      </w:r>
      <w:r>
        <w:rPr>
          <w:rFonts w:ascii="宋体" w:hAnsi="宋体" w:cs="宋体"/>
          <w:sz w:val="24"/>
          <w:szCs w:val="24"/>
        </w:rPr>
        <w:t>https://www.norincogroup-ebuy.com/)</w:t>
      </w:r>
      <w:r>
        <w:rPr>
          <w:rFonts w:hint="eastAsia" w:ascii="宋体" w:hAnsi="宋体" w:cs="宋体"/>
          <w:sz w:val="24"/>
          <w:szCs w:val="24"/>
        </w:rPr>
        <w:t>（以下简称“七采平台）”</w:t>
      </w:r>
      <w:r>
        <w:rPr>
          <w:rFonts w:hint="eastAsia" w:ascii="宋体" w:hAnsi="宋体" w:cs="宋体"/>
          <w:b/>
          <w:bCs/>
          <w:sz w:val="24"/>
          <w:szCs w:val="24"/>
        </w:rPr>
        <w:t>注册报名。</w:t>
      </w:r>
      <w:r>
        <w:rPr>
          <w:rFonts w:hint="eastAsia" w:ascii="宋体" w:hAnsi="宋体" w:cs="宋体"/>
          <w:sz w:val="24"/>
          <w:szCs w:val="24"/>
        </w:rPr>
        <w:t>注册流程、上传资质文件、缴纳</w:t>
      </w:r>
      <w:r>
        <w:rPr>
          <w:rFonts w:hint="eastAsia" w:ascii="宋体" w:hAnsi="宋体" w:cs="宋体"/>
          <w:sz w:val="24"/>
          <w:szCs w:val="24"/>
          <w:lang w:val="en-US" w:eastAsia="zh-CN"/>
        </w:rPr>
        <w:t>竞价</w:t>
      </w:r>
      <w:r>
        <w:rPr>
          <w:rFonts w:hint="eastAsia" w:ascii="宋体" w:hAnsi="宋体" w:cs="宋体"/>
          <w:sz w:val="24"/>
          <w:szCs w:val="24"/>
        </w:rPr>
        <w:t>保证金等关键操作，</w:t>
      </w:r>
      <w:r>
        <w:rPr>
          <w:rFonts w:hint="eastAsia" w:ascii="宋体" w:hAnsi="宋体" w:cs="宋体"/>
          <w:b/>
          <w:bCs/>
          <w:sz w:val="24"/>
          <w:szCs w:val="24"/>
        </w:rPr>
        <w:t>如有疑问请联系平台客服电话：</w:t>
      </w:r>
      <w:r>
        <w:rPr>
          <w:rFonts w:ascii="宋体" w:hAnsi="宋体" w:cs="宋体"/>
          <w:b/>
          <w:bCs/>
          <w:sz w:val="24"/>
          <w:szCs w:val="24"/>
        </w:rPr>
        <w:t>4000-555-811</w:t>
      </w:r>
      <w:r>
        <w:rPr>
          <w:rFonts w:hint="eastAsia" w:ascii="宋体" w:hAnsi="宋体" w:cs="宋体"/>
          <w:b/>
          <w:bCs/>
          <w:sz w:val="24"/>
          <w:szCs w:val="24"/>
        </w:rPr>
        <w:t>。</w:t>
      </w:r>
      <w:r>
        <w:rPr>
          <w:rFonts w:hint="eastAsia" w:ascii="宋体" w:hAnsi="宋体" w:cs="宋体"/>
          <w:sz w:val="24"/>
          <w:szCs w:val="24"/>
        </w:rPr>
        <w:t>）</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textAlignment w:val="auto"/>
        <w:rPr>
          <w:rFonts w:hint="eastAsia" w:ascii="宋体" w:hAnsi="宋体" w:cs="宋体"/>
          <w:sz w:val="28"/>
          <w:szCs w:val="28"/>
          <w:lang w:val="en-US" w:eastAsia="zh-CN"/>
        </w:rPr>
      </w:pPr>
      <w:r>
        <w:rPr>
          <w:rFonts w:hint="eastAsia" w:ascii="宋体" w:hAnsi="宋体" w:cs="宋体"/>
          <w:sz w:val="28"/>
          <w:szCs w:val="28"/>
          <w:lang w:val="en-US" w:eastAsia="zh-CN"/>
        </w:rPr>
        <w:t>四、重要提示</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1、竞价方竞价前可到卖方进行勘察（勘查时间为</w:t>
      </w:r>
      <w:r>
        <w:rPr>
          <w:rFonts w:hint="eastAsia" w:ascii="宋体" w:hAnsi="宋体" w:cs="宋体"/>
          <w:sz w:val="24"/>
          <w:szCs w:val="24"/>
          <w:lang w:val="en-US" w:eastAsia="zh-CN"/>
        </w:rPr>
        <w:t>8</w:t>
      </w:r>
      <w:r>
        <w:rPr>
          <w:rFonts w:hint="eastAsia" w:ascii="宋体" w:hAnsi="宋体" w:cs="宋体"/>
          <w:sz w:val="24"/>
          <w:szCs w:val="24"/>
          <w:lang w:eastAsia="zh-CN"/>
        </w:rPr>
        <w:t>月1</w:t>
      </w:r>
      <w:r>
        <w:rPr>
          <w:rFonts w:hint="eastAsia" w:ascii="宋体" w:hAnsi="宋体" w:cs="宋体"/>
          <w:sz w:val="24"/>
          <w:szCs w:val="24"/>
          <w:lang w:val="en-US" w:eastAsia="zh-CN"/>
        </w:rPr>
        <w:t>1</w:t>
      </w:r>
      <w:r>
        <w:rPr>
          <w:rFonts w:hint="eastAsia" w:ascii="宋体" w:hAnsi="宋体" w:cs="宋体"/>
          <w:sz w:val="24"/>
          <w:szCs w:val="24"/>
          <w:lang w:eastAsia="zh-CN"/>
        </w:rPr>
        <w:t>日</w:t>
      </w:r>
      <w:r>
        <w:rPr>
          <w:rFonts w:hint="eastAsia" w:ascii="宋体" w:hAnsi="宋体" w:cs="宋体"/>
          <w:sz w:val="24"/>
          <w:szCs w:val="24"/>
          <w:lang w:val="en-US" w:eastAsia="zh-CN"/>
        </w:rPr>
        <w:t>-8月16日</w:t>
      </w:r>
      <w:r>
        <w:rPr>
          <w:rFonts w:hint="eastAsia" w:ascii="宋体" w:hAnsi="宋体" w:cs="宋体"/>
          <w:sz w:val="24"/>
          <w:szCs w:val="24"/>
          <w:lang w:eastAsia="zh-CN"/>
        </w:rPr>
        <w:t>），查看库存车状态，联系人：许镇鹏，电话：17640425637竞价资料投出后，自动承诺对竞价与库存车状态无异议，成交以后所报价格不得更改，在获得成交资格后对竞价文件内容提出异议或更改，将取消其成交资格，竞价保证金不予退还。</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2、竞拍底价为起拍价。</w:t>
      </w:r>
      <w:bookmarkStart w:id="1" w:name="_GoBack"/>
      <w:bookmarkEnd w:id="1"/>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cs="宋体"/>
          <w:sz w:val="24"/>
          <w:szCs w:val="24"/>
          <w:lang w:eastAsia="zh-CN"/>
        </w:rPr>
      </w:pPr>
      <w:r>
        <w:rPr>
          <w:rFonts w:hint="eastAsia" w:ascii="宋体" w:hAnsi="宋体" w:cs="宋体"/>
          <w:sz w:val="24"/>
          <w:szCs w:val="24"/>
          <w:lang w:val="en-US" w:eastAsia="zh-CN"/>
        </w:rPr>
        <w:t>3</w:t>
      </w:r>
      <w:r>
        <w:rPr>
          <w:rFonts w:hint="eastAsia" w:ascii="宋体" w:hAnsi="宋体" w:cs="宋体"/>
          <w:sz w:val="24"/>
          <w:szCs w:val="24"/>
          <w:lang w:eastAsia="zh-CN"/>
        </w:rPr>
        <w:t>、每辆库存车竞价保证金为2</w:t>
      </w:r>
      <w:r>
        <w:rPr>
          <w:rFonts w:hint="eastAsia" w:ascii="宋体" w:hAnsi="宋体" w:cs="宋体"/>
          <w:sz w:val="24"/>
          <w:szCs w:val="24"/>
          <w:lang w:val="en-US" w:eastAsia="zh-CN"/>
        </w:rPr>
        <w:t>000.00</w:t>
      </w:r>
      <w:r>
        <w:rPr>
          <w:rFonts w:hint="eastAsia" w:ascii="宋体" w:hAnsi="宋体" w:cs="宋体"/>
          <w:sz w:val="24"/>
          <w:szCs w:val="24"/>
          <w:lang w:eastAsia="zh-CN"/>
        </w:rPr>
        <w:t>元（大写：贰仟元整），通过线下缴纳，请按以下图片内容汇入平台指定收款账户。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12"/>
          <w:rFonts w:hint="eastAsia" w:ascii="微软雅黑" w:hAnsi="微软雅黑" w:eastAsia="微软雅黑" w:cs="微软雅黑"/>
          <w:i w:val="0"/>
          <w:iCs w:val="0"/>
          <w:caps w:val="0"/>
          <w:color w:val="3E3E3E"/>
          <w:spacing w:val="0"/>
          <w:sz w:val="21"/>
          <w:szCs w:val="21"/>
          <w:shd w:val="clear" w:fill="FFFFFF"/>
          <w:lang w:eastAsia="zh-CN"/>
        </w:rPr>
      </w:pPr>
      <w:r>
        <w:rPr>
          <w:rFonts w:hint="default" w:ascii="宋体" w:hAnsi="宋体" w:cs="宋体"/>
          <w:sz w:val="24"/>
          <w:szCs w:val="24"/>
          <w:lang w:val="en-US" w:eastAsia="zh-CN"/>
        </w:rPr>
        <w:drawing>
          <wp:anchor distT="0" distB="0" distL="114300" distR="114300" simplePos="0" relativeHeight="251659264" behindDoc="0" locked="0" layoutInCell="1" allowOverlap="1">
            <wp:simplePos x="0" y="0"/>
            <wp:positionH relativeFrom="column">
              <wp:posOffset>3115310</wp:posOffset>
            </wp:positionH>
            <wp:positionV relativeFrom="paragraph">
              <wp:posOffset>11430</wp:posOffset>
            </wp:positionV>
            <wp:extent cx="3057525" cy="3968115"/>
            <wp:effectExtent l="0" t="0" r="9525" b="13335"/>
            <wp:wrapNone/>
            <wp:docPr id="2" name="图片 2" descr="aecfcf165683aeb194e77e32a2495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ecfcf165683aeb194e77e32a24951f"/>
                    <pic:cNvPicPr>
                      <a:picLocks noChangeAspect="1"/>
                    </pic:cNvPicPr>
                  </pic:nvPicPr>
                  <pic:blipFill>
                    <a:blip r:embed="rId4"/>
                    <a:stretch>
                      <a:fillRect/>
                    </a:stretch>
                  </pic:blipFill>
                  <pic:spPr>
                    <a:xfrm>
                      <a:off x="0" y="0"/>
                      <a:ext cx="3057525" cy="3968115"/>
                    </a:xfrm>
                    <a:prstGeom prst="rect">
                      <a:avLst/>
                    </a:prstGeom>
                  </pic:spPr>
                </pic:pic>
              </a:graphicData>
            </a:graphic>
          </wp:anchor>
        </w:drawing>
      </w:r>
      <w:r>
        <w:rPr>
          <w:rStyle w:val="12"/>
          <w:rFonts w:hint="eastAsia" w:ascii="微软雅黑" w:hAnsi="微软雅黑" w:eastAsia="微软雅黑" w:cs="微软雅黑"/>
          <w:i w:val="0"/>
          <w:iCs w:val="0"/>
          <w:caps w:val="0"/>
          <w:color w:val="3E3E3E"/>
          <w:spacing w:val="0"/>
          <w:sz w:val="21"/>
          <w:szCs w:val="21"/>
          <w:shd w:val="clear" w:fill="FFFFFF"/>
          <w:lang w:eastAsia="zh-CN"/>
        </w:rPr>
        <w:drawing>
          <wp:inline distT="0" distB="0" distL="114300" distR="114300">
            <wp:extent cx="3002280" cy="3942080"/>
            <wp:effectExtent l="0" t="0" r="7620" b="1270"/>
            <wp:docPr id="1" name="图片 1" descr="ceeffb37435be49d6ac2c978b5d63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eeffb37435be49d6ac2c978b5d63c8"/>
                    <pic:cNvPicPr>
                      <a:picLocks noChangeAspect="1"/>
                    </pic:cNvPicPr>
                  </pic:nvPicPr>
                  <pic:blipFill>
                    <a:blip r:embed="rId5"/>
                    <a:stretch>
                      <a:fillRect/>
                    </a:stretch>
                  </pic:blipFill>
                  <pic:spPr>
                    <a:xfrm>
                      <a:off x="0" y="0"/>
                      <a:ext cx="3002280" cy="3942080"/>
                    </a:xfrm>
                    <a:prstGeom prst="rect">
                      <a:avLst/>
                    </a:prstGeom>
                  </pic:spPr>
                </pic:pic>
              </a:graphicData>
            </a:graphic>
          </wp:inline>
        </w:drawing>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cs="宋体"/>
          <w:sz w:val="24"/>
          <w:szCs w:val="24"/>
          <w:lang w:eastAsia="zh-CN"/>
        </w:rPr>
      </w:pPr>
      <w:r>
        <w:rPr>
          <w:rFonts w:hint="eastAsia" w:ascii="宋体" w:hAnsi="宋体" w:cs="宋体"/>
          <w:sz w:val="24"/>
          <w:szCs w:val="24"/>
          <w:lang w:val="en-US" w:eastAsia="zh-CN"/>
        </w:rPr>
        <w:t>4</w:t>
      </w:r>
      <w:r>
        <w:rPr>
          <w:rFonts w:hint="eastAsia" w:ascii="宋体" w:hAnsi="宋体" w:cs="宋体"/>
          <w:sz w:val="24"/>
          <w:szCs w:val="24"/>
          <w:lang w:eastAsia="zh-CN"/>
        </w:rPr>
        <w:t>、本项目最少要求</w:t>
      </w:r>
      <w:r>
        <w:rPr>
          <w:rFonts w:hint="eastAsia" w:ascii="宋体" w:hAnsi="宋体" w:cs="宋体"/>
          <w:sz w:val="24"/>
          <w:szCs w:val="24"/>
          <w:lang w:val="en-US" w:eastAsia="zh-CN"/>
        </w:rPr>
        <w:t>1</w:t>
      </w:r>
      <w:r>
        <w:rPr>
          <w:rFonts w:hint="eastAsia" w:ascii="宋体" w:hAnsi="宋体" w:cs="宋体"/>
          <w:sz w:val="24"/>
          <w:szCs w:val="24"/>
          <w:lang w:eastAsia="zh-CN"/>
        </w:rPr>
        <w:t>家（个）竞价人参与项目且通过资格审核后并缴纳完竞价保证金方可获得参与竞价的资格。</w:t>
      </w:r>
    </w:p>
    <w:p>
      <w:pPr>
        <w:bidi w:val="0"/>
        <w:ind w:firstLine="4760" w:firstLineChars="1700"/>
        <w:rPr>
          <w:rFonts w:hint="eastAsia" w:ascii="宋体" w:hAnsi="宋体" w:cs="宋体"/>
          <w:sz w:val="28"/>
          <w:szCs w:val="28"/>
          <w:lang w:val="en-US" w:eastAsia="zh-CN"/>
        </w:rPr>
      </w:pPr>
      <w:bookmarkStart w:id="0" w:name="_Toc50492692"/>
    </w:p>
    <w:p>
      <w:pPr>
        <w:bidi w:val="0"/>
        <w:ind w:firstLine="4760" w:firstLineChars="1700"/>
        <w:rPr>
          <w:rFonts w:hint="eastAsia" w:ascii="宋体" w:hAnsi="宋体" w:cs="宋体"/>
          <w:sz w:val="28"/>
          <w:szCs w:val="28"/>
          <w:lang w:val="en-US" w:eastAsia="zh-CN"/>
        </w:rPr>
      </w:pPr>
    </w:p>
    <w:p>
      <w:pPr>
        <w:bidi w:val="0"/>
        <w:ind w:firstLine="4760" w:firstLineChars="1700"/>
        <w:rPr>
          <w:rFonts w:hint="eastAsia" w:ascii="宋体" w:hAnsi="宋体" w:cs="宋体"/>
          <w:sz w:val="28"/>
          <w:szCs w:val="28"/>
          <w:lang w:val="en-US" w:eastAsia="zh-CN"/>
        </w:rPr>
      </w:pPr>
    </w:p>
    <w:p>
      <w:pPr>
        <w:bidi w:val="0"/>
        <w:ind w:firstLine="4760" w:firstLineChars="1700"/>
        <w:rPr>
          <w:rFonts w:hint="eastAsia" w:ascii="宋体" w:hAnsi="宋体" w:cs="宋体"/>
          <w:sz w:val="28"/>
          <w:szCs w:val="28"/>
          <w:lang w:val="en-US" w:eastAsia="zh-CN"/>
        </w:rPr>
      </w:pPr>
      <w:r>
        <w:rPr>
          <w:rFonts w:hint="eastAsia" w:ascii="宋体" w:hAnsi="宋体" w:cs="宋体"/>
          <w:sz w:val="28"/>
          <w:szCs w:val="28"/>
          <w:lang w:val="en-US" w:eastAsia="zh-CN"/>
        </w:rPr>
        <w:t>承德苏垦银河连杆有限公司</w:t>
      </w:r>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F5D7CA"/>
    <w:multiLevelType w:val="singleLevel"/>
    <w:tmpl w:val="26F5D7CA"/>
    <w:lvl w:ilvl="0" w:tentative="0">
      <w:start w:val="2"/>
      <w:numFmt w:val="chineseCounting"/>
      <w:suff w:val="nothing"/>
      <w:lvlText w:val="%1、"/>
      <w:lvlJc w:val="left"/>
      <w:pPr>
        <w:ind w:left="210"/>
      </w:pPr>
      <w:rPr>
        <w:rFonts w:hint="eastAsia"/>
      </w:rPr>
    </w:lvl>
  </w:abstractNum>
  <w:abstractNum w:abstractNumId="1">
    <w:nsid w:val="5C350B87"/>
    <w:multiLevelType w:val="singleLevel"/>
    <w:tmpl w:val="5C350B8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MDY3NzNjMzFkMTBlNDlmN2VhOTdhZmRjMTczOWUifQ=="/>
  </w:docVars>
  <w:rsids>
    <w:rsidRoot w:val="00BA0692"/>
    <w:rsid w:val="007059A0"/>
    <w:rsid w:val="00B71CAC"/>
    <w:rsid w:val="00BA0692"/>
    <w:rsid w:val="00DE7DB4"/>
    <w:rsid w:val="00F12502"/>
    <w:rsid w:val="010351AA"/>
    <w:rsid w:val="01201B55"/>
    <w:rsid w:val="02E66B31"/>
    <w:rsid w:val="03123CD4"/>
    <w:rsid w:val="03453452"/>
    <w:rsid w:val="03B92498"/>
    <w:rsid w:val="05C537B7"/>
    <w:rsid w:val="060A686F"/>
    <w:rsid w:val="08656AD0"/>
    <w:rsid w:val="08B06560"/>
    <w:rsid w:val="08B54487"/>
    <w:rsid w:val="09C91B1B"/>
    <w:rsid w:val="0B571C9C"/>
    <w:rsid w:val="0CA90116"/>
    <w:rsid w:val="10326A31"/>
    <w:rsid w:val="10E95D70"/>
    <w:rsid w:val="111F1488"/>
    <w:rsid w:val="11354CAD"/>
    <w:rsid w:val="121F7B41"/>
    <w:rsid w:val="13567B45"/>
    <w:rsid w:val="14187817"/>
    <w:rsid w:val="154B281C"/>
    <w:rsid w:val="16FA6CA7"/>
    <w:rsid w:val="17C455AD"/>
    <w:rsid w:val="180F702D"/>
    <w:rsid w:val="189F35B2"/>
    <w:rsid w:val="19343D17"/>
    <w:rsid w:val="1A9F6176"/>
    <w:rsid w:val="1B6A382F"/>
    <w:rsid w:val="1BA03096"/>
    <w:rsid w:val="1E0C16EA"/>
    <w:rsid w:val="1E637B5D"/>
    <w:rsid w:val="1E867EAE"/>
    <w:rsid w:val="1EC91808"/>
    <w:rsid w:val="1F436019"/>
    <w:rsid w:val="1F84655F"/>
    <w:rsid w:val="1FA00F62"/>
    <w:rsid w:val="2084396D"/>
    <w:rsid w:val="20914E9B"/>
    <w:rsid w:val="21577120"/>
    <w:rsid w:val="216F7CED"/>
    <w:rsid w:val="21861036"/>
    <w:rsid w:val="21934281"/>
    <w:rsid w:val="21D00C81"/>
    <w:rsid w:val="23B32213"/>
    <w:rsid w:val="26FA476A"/>
    <w:rsid w:val="28C657AC"/>
    <w:rsid w:val="290841B5"/>
    <w:rsid w:val="294066EC"/>
    <w:rsid w:val="29706927"/>
    <w:rsid w:val="2C9047E7"/>
    <w:rsid w:val="2D83109C"/>
    <w:rsid w:val="2E547DDE"/>
    <w:rsid w:val="2E6E7139"/>
    <w:rsid w:val="2EF85AE8"/>
    <w:rsid w:val="3196159F"/>
    <w:rsid w:val="342A16B5"/>
    <w:rsid w:val="34833D46"/>
    <w:rsid w:val="355D5A79"/>
    <w:rsid w:val="3732332F"/>
    <w:rsid w:val="388D1A06"/>
    <w:rsid w:val="38B44DFE"/>
    <w:rsid w:val="38C369F1"/>
    <w:rsid w:val="39BE1474"/>
    <w:rsid w:val="39D25042"/>
    <w:rsid w:val="3A3C02B7"/>
    <w:rsid w:val="3B45264E"/>
    <w:rsid w:val="3CEC311E"/>
    <w:rsid w:val="3D3B124C"/>
    <w:rsid w:val="3D87040A"/>
    <w:rsid w:val="3E082D4E"/>
    <w:rsid w:val="3E1C107E"/>
    <w:rsid w:val="3EB2553E"/>
    <w:rsid w:val="3EC94E53"/>
    <w:rsid w:val="3EEF4F88"/>
    <w:rsid w:val="4111642E"/>
    <w:rsid w:val="422774C6"/>
    <w:rsid w:val="42C30D1E"/>
    <w:rsid w:val="43E32EF2"/>
    <w:rsid w:val="44DD0DB1"/>
    <w:rsid w:val="464776C1"/>
    <w:rsid w:val="46907125"/>
    <w:rsid w:val="46C46EB5"/>
    <w:rsid w:val="474029EB"/>
    <w:rsid w:val="475305F1"/>
    <w:rsid w:val="48D07394"/>
    <w:rsid w:val="49440EEE"/>
    <w:rsid w:val="49573C31"/>
    <w:rsid w:val="497F5AE9"/>
    <w:rsid w:val="4BB44A88"/>
    <w:rsid w:val="4BE129B4"/>
    <w:rsid w:val="4CA05FC8"/>
    <w:rsid w:val="4CA26987"/>
    <w:rsid w:val="4E8A1CD5"/>
    <w:rsid w:val="4F387E30"/>
    <w:rsid w:val="4F6A587F"/>
    <w:rsid w:val="4FC1030A"/>
    <w:rsid w:val="50B510D4"/>
    <w:rsid w:val="52602E07"/>
    <w:rsid w:val="54560F6A"/>
    <w:rsid w:val="549451C7"/>
    <w:rsid w:val="554716DE"/>
    <w:rsid w:val="55EC1538"/>
    <w:rsid w:val="57454D4A"/>
    <w:rsid w:val="58DF3CEB"/>
    <w:rsid w:val="59007EEC"/>
    <w:rsid w:val="5A0E54CE"/>
    <w:rsid w:val="5B2F28B0"/>
    <w:rsid w:val="5BA504AD"/>
    <w:rsid w:val="5BDB3ECE"/>
    <w:rsid w:val="5CD3420A"/>
    <w:rsid w:val="5E6B59B2"/>
    <w:rsid w:val="60251C2F"/>
    <w:rsid w:val="615069D3"/>
    <w:rsid w:val="61E15FB7"/>
    <w:rsid w:val="63C15EDB"/>
    <w:rsid w:val="64160883"/>
    <w:rsid w:val="64255857"/>
    <w:rsid w:val="64B976E2"/>
    <w:rsid w:val="64D83DEA"/>
    <w:rsid w:val="65731628"/>
    <w:rsid w:val="65DE54D8"/>
    <w:rsid w:val="68927756"/>
    <w:rsid w:val="69191C82"/>
    <w:rsid w:val="69695022"/>
    <w:rsid w:val="6A30395E"/>
    <w:rsid w:val="6A4315BC"/>
    <w:rsid w:val="6A4E2708"/>
    <w:rsid w:val="6AB428AF"/>
    <w:rsid w:val="6B596EEF"/>
    <w:rsid w:val="6B71221E"/>
    <w:rsid w:val="6B86799B"/>
    <w:rsid w:val="6CAC086C"/>
    <w:rsid w:val="6CBA6410"/>
    <w:rsid w:val="6DB83577"/>
    <w:rsid w:val="6FE83D07"/>
    <w:rsid w:val="6FF72FE5"/>
    <w:rsid w:val="702552C0"/>
    <w:rsid w:val="710147BF"/>
    <w:rsid w:val="71015854"/>
    <w:rsid w:val="716A554A"/>
    <w:rsid w:val="71C764DD"/>
    <w:rsid w:val="72CA37EE"/>
    <w:rsid w:val="730B2698"/>
    <w:rsid w:val="738E6EB4"/>
    <w:rsid w:val="74697AB9"/>
    <w:rsid w:val="746C4BA1"/>
    <w:rsid w:val="757B5507"/>
    <w:rsid w:val="76505878"/>
    <w:rsid w:val="768E714A"/>
    <w:rsid w:val="789B25C4"/>
    <w:rsid w:val="78A14E71"/>
    <w:rsid w:val="78A80CEC"/>
    <w:rsid w:val="795E723E"/>
    <w:rsid w:val="79DF3C56"/>
    <w:rsid w:val="7A4F01D1"/>
    <w:rsid w:val="7A737904"/>
    <w:rsid w:val="7AA029C5"/>
    <w:rsid w:val="7AD60D5D"/>
    <w:rsid w:val="7B2C39A7"/>
    <w:rsid w:val="7BE9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lang w:val="zh-CN"/>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link w:val="15"/>
    <w:qFormat/>
    <w:uiPriority w:val="0"/>
    <w:pPr>
      <w:spacing w:after="120"/>
    </w:pPr>
    <w:rPr>
      <w:rFonts w:ascii="Calibri" w:hAnsi="Calibri" w:cs="Calibri"/>
      <w:szCs w:val="21"/>
    </w:rPr>
  </w:style>
  <w:style w:type="paragraph" w:styleId="4">
    <w:name w:val="Date"/>
    <w:basedOn w:val="1"/>
    <w:next w:val="1"/>
    <w:qFormat/>
    <w:uiPriority w:val="0"/>
    <w:pPr>
      <w:ind w:left="100" w:leftChars="2500"/>
    </w:pPr>
  </w:style>
  <w:style w:type="paragraph" w:styleId="5">
    <w:name w:val="Body Text Indent 2"/>
    <w:basedOn w:val="1"/>
    <w:link w:val="16"/>
    <w:qFormat/>
    <w:uiPriority w:val="0"/>
    <w:pPr>
      <w:widowControl/>
      <w:spacing w:line="240" w:lineRule="atLeast"/>
      <w:ind w:left="718" w:leftChars="342" w:firstLine="2"/>
      <w:jc w:val="left"/>
    </w:pPr>
    <w:rPr>
      <w:rFonts w:ascii="方正仿宋简体" w:eastAsia="方正仿宋简体"/>
      <w:kern w:val="0"/>
      <w:sz w:val="24"/>
      <w:lang w:val="zh-CN"/>
    </w:rPr>
  </w:style>
  <w:style w:type="paragraph" w:styleId="6">
    <w:name w:val="footer"/>
    <w:basedOn w:val="1"/>
    <w:link w:val="19"/>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标题 1 Char"/>
    <w:basedOn w:val="11"/>
    <w:link w:val="2"/>
    <w:qFormat/>
    <w:locked/>
    <w:uiPriority w:val="0"/>
    <w:rPr>
      <w:rFonts w:eastAsia="宋体"/>
      <w:b/>
      <w:bCs/>
      <w:kern w:val="44"/>
      <w:sz w:val="44"/>
      <w:szCs w:val="44"/>
      <w:lang w:val="zh-CN" w:eastAsia="zh-CN" w:bidi="ar-SA"/>
    </w:rPr>
  </w:style>
  <w:style w:type="character" w:customStyle="1" w:styleId="15">
    <w:name w:val="正文文本 Char"/>
    <w:basedOn w:val="11"/>
    <w:link w:val="3"/>
    <w:qFormat/>
    <w:locked/>
    <w:uiPriority w:val="0"/>
    <w:rPr>
      <w:rFonts w:ascii="Calibri" w:hAnsi="Calibri" w:eastAsia="宋体" w:cs="Calibri"/>
      <w:kern w:val="2"/>
      <w:sz w:val="21"/>
      <w:szCs w:val="21"/>
      <w:lang w:val="en-US" w:eastAsia="zh-CN" w:bidi="ar-SA"/>
    </w:rPr>
  </w:style>
  <w:style w:type="character" w:customStyle="1" w:styleId="16">
    <w:name w:val="正文文本缩进 2 Char"/>
    <w:link w:val="5"/>
    <w:qFormat/>
    <w:locked/>
    <w:uiPriority w:val="0"/>
    <w:rPr>
      <w:rFonts w:ascii="方正仿宋简体" w:eastAsia="方正仿宋简体"/>
      <w:sz w:val="24"/>
      <w:szCs w:val="24"/>
      <w:lang w:val="zh-CN" w:eastAsia="zh-CN" w:bidi="ar-SA"/>
    </w:rPr>
  </w:style>
  <w:style w:type="paragraph" w:customStyle="1" w:styleId="17">
    <w:name w:val="Fließtext"/>
    <w:basedOn w:val="1"/>
    <w:qFormat/>
    <w:uiPriority w:val="0"/>
    <w:pPr>
      <w:overflowPunct w:val="0"/>
      <w:autoSpaceDE w:val="0"/>
      <w:autoSpaceDN w:val="0"/>
      <w:adjustRightInd w:val="0"/>
      <w:textAlignment w:val="baseline"/>
    </w:pPr>
    <w:rPr>
      <w:rFonts w:ascii="Calibri" w:hAnsi="Calibri"/>
      <w:kern w:val="28"/>
      <w:szCs w:val="20"/>
    </w:rPr>
  </w:style>
  <w:style w:type="character" w:customStyle="1" w:styleId="18">
    <w:name w:val="页眉 Char"/>
    <w:basedOn w:val="11"/>
    <w:link w:val="7"/>
    <w:qFormat/>
    <w:uiPriority w:val="0"/>
    <w:rPr>
      <w:kern w:val="2"/>
      <w:sz w:val="18"/>
      <w:szCs w:val="18"/>
    </w:rPr>
  </w:style>
  <w:style w:type="character" w:customStyle="1" w:styleId="19">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ynxy</Company>
  <Pages>2</Pages>
  <Words>816</Words>
  <Characters>1031</Characters>
  <Lines>20</Lines>
  <Paragraphs>5</Paragraphs>
  <TotalTime>7</TotalTime>
  <ScaleCrop>false</ScaleCrop>
  <LinksUpToDate>false</LinksUpToDate>
  <CharactersWithSpaces>1031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2021-09-11T03:36:00Z</dcterms:created>
  <dc:creator>李红霞</dc:creator>
  <cp:lastModifiedBy>WPS_1492510244</cp:lastModifiedBy>
  <cp:lastPrinted>2022-04-14T06:54:00Z</cp:lastPrinted>
  <dcterms:modified xsi:type="dcterms:W3CDTF">2022-08-11T00:25:46Z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022D61124E8D4233B9BFBB9E77A724FB</vt:lpwstr>
  </property>
</Properties>
</file>